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E1B" w:rsidRDefault="008A7951" w:rsidP="00E97AFB">
      <w:pPr>
        <w:pStyle w:val="IQB-Aufgabentitel"/>
        <w:spacing w:after="120"/>
        <w:rPr>
          <w:rFonts w:cs="Arial"/>
        </w:rPr>
      </w:pPr>
      <w:r w:rsidRPr="00E97AFB">
        <w:rPr>
          <w:rFonts w:cs="Arial"/>
        </w:rPr>
        <w:t xml:space="preserve">Didaktische </w:t>
      </w:r>
      <w:r w:rsidR="00A7483C">
        <w:rPr>
          <w:rFonts w:cs="Arial"/>
        </w:rPr>
        <w:t>Kommentierung</w:t>
      </w:r>
      <w:bookmarkStart w:id="0" w:name="_GoBack"/>
      <w:bookmarkEnd w:id="0"/>
      <w:r w:rsidR="00E97AFB" w:rsidRPr="00E97AFB">
        <w:rPr>
          <w:rFonts w:cs="Arial"/>
        </w:rPr>
        <w:t>:</w:t>
      </w:r>
      <w:r w:rsidRPr="00E97AFB">
        <w:rPr>
          <w:rFonts w:cs="Arial"/>
        </w:rPr>
        <w:t xml:space="preserve"> Aufgabe</w:t>
      </w:r>
      <w:r w:rsidR="00E97AFB" w:rsidRPr="00E97AFB">
        <w:rPr>
          <w:rFonts w:cs="Arial"/>
        </w:rPr>
        <w:t xml:space="preserve"> Zifferntausch</w:t>
      </w:r>
    </w:p>
    <w:p w:rsidR="00E97AFB" w:rsidRPr="00E97AFB" w:rsidRDefault="00E97AFB" w:rsidP="00E97AFB">
      <w:pPr>
        <w:pStyle w:val="IQB-Aufgabentitel"/>
        <w:spacing w:after="120"/>
        <w:rPr>
          <w:rFonts w:cs="Arial"/>
          <w:sz w:val="22"/>
          <w:szCs w:val="22"/>
        </w:rPr>
      </w:pPr>
    </w:p>
    <w:p w:rsidR="008A7951" w:rsidRPr="00E97AFB" w:rsidRDefault="008A7951" w:rsidP="00E97AFB">
      <w:pPr>
        <w:pStyle w:val="IQB-Aufgabentitel"/>
        <w:spacing w:after="120"/>
        <w:rPr>
          <w:rFonts w:cs="Arial"/>
          <w:b/>
          <w:sz w:val="22"/>
          <w:szCs w:val="22"/>
        </w:rPr>
      </w:pPr>
      <w:r w:rsidRPr="00E97AFB">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1E1E1B" w:rsidRPr="00E97AFB">
        <w:tc>
          <w:tcPr>
            <w:tcW w:w="2040" w:type="dxa"/>
            <w:vAlign w:val="center"/>
          </w:tcPr>
          <w:p w:rsidR="001E1E1B" w:rsidRPr="00E97AFB" w:rsidRDefault="00E97AFB" w:rsidP="00E97AFB">
            <w:pPr>
              <w:pStyle w:val="IQB-Merkmal"/>
              <w:spacing w:before="0" w:after="120"/>
              <w:rPr>
                <w:rFonts w:cs="Arial"/>
                <w:sz w:val="20"/>
                <w:szCs w:val="20"/>
              </w:rPr>
            </w:pPr>
            <w:r w:rsidRPr="00E97AFB">
              <w:rPr>
                <w:rFonts w:cs="Arial"/>
                <w:sz w:val="20"/>
                <w:szCs w:val="20"/>
              </w:rPr>
              <w:t>Leitidee</w:t>
            </w:r>
          </w:p>
        </w:tc>
        <w:tc>
          <w:tcPr>
            <w:tcW w:w="7086" w:type="dxa"/>
          </w:tcPr>
          <w:p w:rsidR="001E1E1B" w:rsidRPr="00E97AFB" w:rsidRDefault="00E97AFB" w:rsidP="00E97AFB">
            <w:pPr>
              <w:pStyle w:val="IQB-Merkmalswert"/>
              <w:spacing w:before="0" w:after="120"/>
              <w:rPr>
                <w:rFonts w:cs="Arial"/>
                <w:sz w:val="20"/>
                <w:szCs w:val="20"/>
              </w:rPr>
            </w:pPr>
            <w:r w:rsidRPr="00E97AFB">
              <w:rPr>
                <w:rFonts w:cs="Arial"/>
                <w:sz w:val="20"/>
                <w:szCs w:val="20"/>
              </w:rPr>
              <w:t>Zahlen und Operationen</w:t>
            </w:r>
          </w:p>
        </w:tc>
      </w:tr>
      <w:tr w:rsidR="001E1E1B" w:rsidRPr="00E97AFB">
        <w:tc>
          <w:tcPr>
            <w:tcW w:w="2040" w:type="dxa"/>
            <w:vAlign w:val="center"/>
          </w:tcPr>
          <w:p w:rsidR="001E1E1B" w:rsidRPr="00E97AFB" w:rsidRDefault="00E97AFB" w:rsidP="00E97AFB">
            <w:pPr>
              <w:pStyle w:val="IQB-Merkmal"/>
              <w:spacing w:before="0" w:after="120"/>
              <w:rPr>
                <w:rFonts w:cs="Arial"/>
                <w:sz w:val="20"/>
                <w:szCs w:val="20"/>
              </w:rPr>
            </w:pPr>
            <w:r w:rsidRPr="00E97AFB">
              <w:rPr>
                <w:rFonts w:cs="Arial"/>
                <w:sz w:val="20"/>
                <w:szCs w:val="20"/>
              </w:rPr>
              <w:t>Bildungsstandard/s - Allgemeine Kompetenzen</w:t>
            </w:r>
          </w:p>
        </w:tc>
        <w:tc>
          <w:tcPr>
            <w:tcW w:w="7086" w:type="dxa"/>
          </w:tcPr>
          <w:p w:rsidR="001E1E1B" w:rsidRPr="00E97AFB" w:rsidRDefault="00E97AFB" w:rsidP="00E97AFB">
            <w:pPr>
              <w:pStyle w:val="IQB-Merkmalswert"/>
              <w:spacing w:before="0" w:after="120"/>
              <w:rPr>
                <w:rFonts w:cs="Arial"/>
                <w:sz w:val="20"/>
                <w:szCs w:val="20"/>
              </w:rPr>
            </w:pPr>
            <w:r w:rsidRPr="00E97AFB">
              <w:rPr>
                <w:rFonts w:cs="Arial"/>
                <w:sz w:val="20"/>
                <w:szCs w:val="20"/>
              </w:rPr>
              <w:t>mathematische Kenntnisse, Fertigkeiten und Fähigkeiten bei der Bearbeitung problemhaltiger Aufgaben anwenden</w:t>
            </w:r>
          </w:p>
        </w:tc>
      </w:tr>
      <w:tr w:rsidR="001E1E1B" w:rsidRPr="00E97AFB">
        <w:tc>
          <w:tcPr>
            <w:tcW w:w="2040" w:type="dxa"/>
            <w:vAlign w:val="center"/>
          </w:tcPr>
          <w:p w:rsidR="001E1E1B" w:rsidRPr="00E97AFB" w:rsidRDefault="00E97AFB" w:rsidP="00E97AFB">
            <w:pPr>
              <w:pStyle w:val="IQB-Merkmal"/>
              <w:spacing w:before="0" w:after="120"/>
              <w:rPr>
                <w:rFonts w:cs="Arial"/>
                <w:sz w:val="20"/>
                <w:szCs w:val="20"/>
              </w:rPr>
            </w:pPr>
            <w:r w:rsidRPr="00E97AFB">
              <w:rPr>
                <w:rFonts w:cs="Arial"/>
                <w:sz w:val="20"/>
                <w:szCs w:val="20"/>
              </w:rPr>
              <w:t>Bildungsstandard/s - Inhaltsbezogene Kompetenzen (Leitideen)</w:t>
            </w:r>
          </w:p>
        </w:tc>
        <w:tc>
          <w:tcPr>
            <w:tcW w:w="7086" w:type="dxa"/>
          </w:tcPr>
          <w:p w:rsidR="001E1E1B" w:rsidRPr="00E97AFB" w:rsidRDefault="00E97AFB" w:rsidP="00E97AFB">
            <w:pPr>
              <w:pStyle w:val="IQB-Merkmalswert"/>
              <w:spacing w:before="0" w:after="120"/>
              <w:rPr>
                <w:rFonts w:cs="Arial"/>
                <w:sz w:val="20"/>
                <w:szCs w:val="20"/>
              </w:rPr>
            </w:pPr>
            <w:r w:rsidRPr="00E97AFB">
              <w:rPr>
                <w:rFonts w:cs="Arial"/>
                <w:sz w:val="20"/>
                <w:szCs w:val="20"/>
              </w:rPr>
              <w:t>den Aufbau des dezimalen Stellenwertsystems verstehen; die Grundaufgaben des Kopfrechnens (</w:t>
            </w:r>
            <w:proofErr w:type="spellStart"/>
            <w:r w:rsidRPr="00E97AFB">
              <w:rPr>
                <w:rFonts w:cs="Arial"/>
                <w:sz w:val="20"/>
                <w:szCs w:val="20"/>
              </w:rPr>
              <w:t>Einspluseins</w:t>
            </w:r>
            <w:proofErr w:type="spellEnd"/>
            <w:r w:rsidRPr="00E97AFB">
              <w:rPr>
                <w:rFonts w:cs="Arial"/>
                <w:sz w:val="20"/>
                <w:szCs w:val="20"/>
              </w:rPr>
              <w:t>, Einmaleins, Zahlzerlegungen) gedächtnismäßig beherrschen, deren Umkehrungen sicher ableiten und diese Grundkenntnisse auf analoge Aufgaben in größeren Zahlenräumen übertragen</w:t>
            </w:r>
          </w:p>
        </w:tc>
      </w:tr>
      <w:tr w:rsidR="001E1E1B" w:rsidRPr="00E97AFB">
        <w:tc>
          <w:tcPr>
            <w:tcW w:w="2040" w:type="dxa"/>
            <w:vAlign w:val="center"/>
          </w:tcPr>
          <w:p w:rsidR="001E1E1B" w:rsidRPr="00E97AFB" w:rsidRDefault="00E97AFB" w:rsidP="00E97AFB">
            <w:pPr>
              <w:pStyle w:val="IQB-Merkmal"/>
              <w:spacing w:before="0" w:after="120"/>
              <w:rPr>
                <w:rFonts w:cs="Arial"/>
                <w:sz w:val="20"/>
                <w:szCs w:val="20"/>
              </w:rPr>
            </w:pPr>
            <w:r w:rsidRPr="00E97AFB">
              <w:rPr>
                <w:rFonts w:cs="Arial"/>
                <w:sz w:val="20"/>
                <w:szCs w:val="20"/>
              </w:rPr>
              <w:t>Kompetenzstufe</w:t>
            </w:r>
          </w:p>
        </w:tc>
        <w:tc>
          <w:tcPr>
            <w:tcW w:w="7086" w:type="dxa"/>
          </w:tcPr>
          <w:p w:rsidR="001E1E1B" w:rsidRPr="00E97AFB" w:rsidRDefault="00E97AFB" w:rsidP="00E97AFB">
            <w:pPr>
              <w:pStyle w:val="IQB-Merkmalswert"/>
              <w:spacing w:before="0" w:after="120"/>
              <w:rPr>
                <w:rFonts w:cs="Arial"/>
                <w:sz w:val="20"/>
                <w:szCs w:val="20"/>
              </w:rPr>
            </w:pPr>
            <w:r w:rsidRPr="00E97AFB">
              <w:rPr>
                <w:rFonts w:cs="Arial"/>
                <w:sz w:val="20"/>
                <w:szCs w:val="20"/>
              </w:rPr>
              <w:t>III</w:t>
            </w:r>
          </w:p>
        </w:tc>
      </w:tr>
      <w:tr w:rsidR="001E1E1B" w:rsidRPr="00E97AFB">
        <w:tc>
          <w:tcPr>
            <w:tcW w:w="2040" w:type="dxa"/>
            <w:vAlign w:val="center"/>
          </w:tcPr>
          <w:p w:rsidR="001E1E1B" w:rsidRPr="00E97AFB" w:rsidRDefault="00E97AFB" w:rsidP="00E97AFB">
            <w:pPr>
              <w:pStyle w:val="IQB-Merkmal"/>
              <w:spacing w:before="0" w:after="120"/>
              <w:rPr>
                <w:rFonts w:cs="Arial"/>
                <w:sz w:val="20"/>
                <w:szCs w:val="20"/>
              </w:rPr>
            </w:pPr>
            <w:r w:rsidRPr="00E97AFB">
              <w:rPr>
                <w:rFonts w:cs="Arial"/>
                <w:sz w:val="20"/>
                <w:szCs w:val="20"/>
              </w:rPr>
              <w:t>Anforderungsbereich</w:t>
            </w:r>
          </w:p>
        </w:tc>
        <w:tc>
          <w:tcPr>
            <w:tcW w:w="7086" w:type="dxa"/>
          </w:tcPr>
          <w:p w:rsidR="001E1E1B" w:rsidRPr="00E97AFB" w:rsidRDefault="00E97AFB" w:rsidP="00E97AFB">
            <w:pPr>
              <w:pStyle w:val="IQB-Merkmalswert"/>
              <w:spacing w:before="0" w:after="120"/>
              <w:rPr>
                <w:rFonts w:cs="Arial"/>
                <w:sz w:val="20"/>
                <w:szCs w:val="20"/>
              </w:rPr>
            </w:pPr>
            <w:r w:rsidRPr="00E97AFB">
              <w:rPr>
                <w:rFonts w:cs="Arial"/>
                <w:sz w:val="20"/>
                <w:szCs w:val="20"/>
              </w:rPr>
              <w:t>Zusammenhänge herstellen (II)</w:t>
            </w:r>
          </w:p>
        </w:tc>
      </w:tr>
    </w:tbl>
    <w:p w:rsidR="00E97AFB" w:rsidRDefault="00E97AFB" w:rsidP="00E97AFB">
      <w:pPr>
        <w:pStyle w:val="IQB-Teilaufgabensubtitel"/>
        <w:spacing w:before="0" w:after="120"/>
        <w:rPr>
          <w:rFonts w:cs="Arial"/>
        </w:rPr>
      </w:pPr>
    </w:p>
    <w:p w:rsidR="00E97AFB" w:rsidRPr="00E97AFB" w:rsidRDefault="00E97AFB" w:rsidP="00E97AFB">
      <w:pPr>
        <w:pStyle w:val="IQB-Teilaufgabensubtitel"/>
        <w:spacing w:before="0" w:after="120"/>
        <w:rPr>
          <w:rFonts w:cs="Arial"/>
          <w:b/>
          <w:szCs w:val="22"/>
        </w:rPr>
      </w:pPr>
      <w:r w:rsidRPr="00E97AFB">
        <w:rPr>
          <w:rFonts w:cs="Arial"/>
          <w:b/>
          <w:szCs w:val="22"/>
        </w:rPr>
        <w:t>Didaktischer Kommentar</w:t>
      </w:r>
    </w:p>
    <w:p w:rsidR="00E97AFB" w:rsidRDefault="00E97AFB" w:rsidP="00E97AFB">
      <w:pPr>
        <w:spacing w:after="120"/>
        <w:rPr>
          <w:rFonts w:ascii="Arial" w:hAnsi="Arial" w:cs="Arial"/>
          <w:sz w:val="22"/>
          <w:szCs w:val="22"/>
        </w:rPr>
      </w:pPr>
      <w:r w:rsidRPr="00E97AFB">
        <w:rPr>
          <w:rFonts w:ascii="Arial" w:hAnsi="Arial" w:cs="Arial"/>
          <w:sz w:val="22"/>
          <w:szCs w:val="22"/>
        </w:rPr>
        <w:t>Für die Bearbeitung dieser Aufgabe muss auf einfaches Grundlagenwissen über die Regeln des Stellenwertsystems zurückgegriffen werden. Die Kinder müssen wissen, dass ein Zehner der Zahl 10 entspricht. Statt einem Zehner hat Lena nun 5 Zehner und damit 4 Zehner mehr. Wichtig ist, dass sie hier den Zusammenhang erkennen und die Differenz bilden.</w:t>
      </w:r>
    </w:p>
    <w:p w:rsidR="00E97AFB" w:rsidRDefault="00E97AFB" w:rsidP="00E97AFB">
      <w:pPr>
        <w:spacing w:after="120"/>
        <w:rPr>
          <w:rFonts w:ascii="Arial" w:hAnsi="Arial" w:cs="Arial"/>
          <w:b/>
          <w:sz w:val="22"/>
          <w:szCs w:val="22"/>
        </w:rPr>
      </w:pPr>
    </w:p>
    <w:p w:rsidR="00E97AFB" w:rsidRDefault="00E97AFB" w:rsidP="00E97AFB">
      <w:pPr>
        <w:spacing w:after="120"/>
        <w:rPr>
          <w:rFonts w:ascii="Arial" w:hAnsi="Arial" w:cs="Arial"/>
          <w:b/>
          <w:sz w:val="22"/>
          <w:szCs w:val="22"/>
        </w:rPr>
      </w:pPr>
      <w:r w:rsidRPr="00E97AFB">
        <w:rPr>
          <w:rFonts w:ascii="Arial" w:hAnsi="Arial" w:cs="Arial"/>
          <w:b/>
          <w:sz w:val="22"/>
          <w:szCs w:val="22"/>
        </w:rPr>
        <w:t>Anregungen für den Unterricht</w:t>
      </w:r>
    </w:p>
    <w:p w:rsidR="003548A2" w:rsidRDefault="003548A2" w:rsidP="00E97AFB">
      <w:pPr>
        <w:spacing w:after="120"/>
        <w:rPr>
          <w:rFonts w:ascii="Arial" w:hAnsi="Arial" w:cs="Arial"/>
          <w:b/>
          <w:sz w:val="22"/>
          <w:szCs w:val="22"/>
        </w:rPr>
      </w:pPr>
    </w:p>
    <w:p w:rsidR="00E97AFB" w:rsidRPr="00E97AFB" w:rsidRDefault="00E97AFB" w:rsidP="00E97AFB">
      <w:pPr>
        <w:spacing w:after="120"/>
        <w:rPr>
          <w:rFonts w:ascii="Arial" w:hAnsi="Arial" w:cs="Arial"/>
          <w:i/>
          <w:sz w:val="22"/>
          <w:szCs w:val="22"/>
        </w:rPr>
      </w:pPr>
      <w:r w:rsidRPr="00E97AFB">
        <w:rPr>
          <w:rFonts w:ascii="Arial" w:hAnsi="Arial" w:cs="Arial"/>
          <w:i/>
          <w:sz w:val="22"/>
          <w:szCs w:val="22"/>
        </w:rPr>
        <w:t xml:space="preserve">Beispiel 1: </w:t>
      </w:r>
    </w:p>
    <w:p w:rsidR="00E97AFB" w:rsidRDefault="003548A2" w:rsidP="00E97AFB">
      <w:pPr>
        <w:spacing w:after="120"/>
        <w:rPr>
          <w:rFonts w:ascii="Arial" w:hAnsi="Arial" w:cs="Arial"/>
          <w:i/>
          <w:sz w:val="22"/>
          <w:szCs w:val="22"/>
        </w:rPr>
      </w:pPr>
      <w:r>
        <w:rPr>
          <w:rFonts w:ascii="Arial" w:hAnsi="Arial" w:cs="Arial"/>
          <w:i/>
          <w:noProof/>
          <w:sz w:val="22"/>
          <w:szCs w:val="22"/>
        </w:rPr>
        <w:drawing>
          <wp:inline distT="0" distB="0" distL="0" distR="0">
            <wp:extent cx="5068800" cy="111266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ifferntausch_1.emf"/>
                    <pic:cNvPicPr/>
                  </pic:nvPicPr>
                  <pic:blipFill>
                    <a:blip r:embed="rId7">
                      <a:extLst>
                        <a:ext uri="{28A0092B-C50C-407E-A947-70E740481C1C}">
                          <a14:useLocalDpi xmlns:a14="http://schemas.microsoft.com/office/drawing/2010/main" val="0"/>
                        </a:ext>
                      </a:extLst>
                    </a:blip>
                    <a:stretch>
                      <a:fillRect/>
                    </a:stretch>
                  </pic:blipFill>
                  <pic:spPr>
                    <a:xfrm>
                      <a:off x="0" y="0"/>
                      <a:ext cx="5068800" cy="1112663"/>
                    </a:xfrm>
                    <a:prstGeom prst="rect">
                      <a:avLst/>
                    </a:prstGeom>
                  </pic:spPr>
                </pic:pic>
              </a:graphicData>
            </a:graphic>
          </wp:inline>
        </w:drawing>
      </w:r>
    </w:p>
    <w:p w:rsidR="003548A2" w:rsidRPr="00E97AFB" w:rsidRDefault="003548A2" w:rsidP="00E97AFB">
      <w:pPr>
        <w:spacing w:after="120"/>
        <w:rPr>
          <w:rFonts w:ascii="Arial" w:hAnsi="Arial" w:cs="Arial"/>
          <w:i/>
          <w:sz w:val="22"/>
          <w:szCs w:val="22"/>
        </w:rPr>
      </w:pPr>
    </w:p>
    <w:p w:rsidR="00E97AFB" w:rsidRPr="00E97AFB" w:rsidRDefault="00E97AFB" w:rsidP="00E97AFB">
      <w:pPr>
        <w:spacing w:after="120"/>
        <w:rPr>
          <w:rFonts w:ascii="Arial" w:hAnsi="Arial" w:cs="Arial"/>
          <w:i/>
          <w:sz w:val="22"/>
          <w:szCs w:val="22"/>
        </w:rPr>
      </w:pPr>
      <w:r w:rsidRPr="00E97AFB">
        <w:rPr>
          <w:rFonts w:ascii="Arial" w:hAnsi="Arial" w:cs="Arial"/>
          <w:i/>
          <w:sz w:val="22"/>
          <w:szCs w:val="22"/>
        </w:rPr>
        <w:t xml:space="preserve">Beispiel 2: </w:t>
      </w:r>
    </w:p>
    <w:p w:rsidR="00E97AFB" w:rsidRPr="00E97AFB" w:rsidRDefault="003548A2" w:rsidP="00E97AFB">
      <w:pPr>
        <w:spacing w:after="120"/>
        <w:rPr>
          <w:rFonts w:ascii="Arial" w:hAnsi="Arial" w:cs="Arial"/>
          <w:i/>
          <w:sz w:val="22"/>
          <w:szCs w:val="22"/>
        </w:rPr>
      </w:pPr>
      <w:r>
        <w:rPr>
          <w:rFonts w:ascii="Arial" w:hAnsi="Arial" w:cs="Arial"/>
          <w:i/>
          <w:noProof/>
          <w:sz w:val="22"/>
          <w:szCs w:val="22"/>
        </w:rPr>
        <w:drawing>
          <wp:inline distT="0" distB="0" distL="0" distR="0" wp14:anchorId="7F637291" wp14:editId="252F11D9">
            <wp:extent cx="5068800" cy="1369432"/>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Zifferntausch_2.emf"/>
                    <pic:cNvPicPr/>
                  </pic:nvPicPr>
                  <pic:blipFill>
                    <a:blip r:embed="rId8">
                      <a:extLst>
                        <a:ext uri="{28A0092B-C50C-407E-A947-70E740481C1C}">
                          <a14:useLocalDpi xmlns:a14="http://schemas.microsoft.com/office/drawing/2010/main" val="0"/>
                        </a:ext>
                      </a:extLst>
                    </a:blip>
                    <a:stretch>
                      <a:fillRect/>
                    </a:stretch>
                  </pic:blipFill>
                  <pic:spPr>
                    <a:xfrm>
                      <a:off x="0" y="0"/>
                      <a:ext cx="5068800" cy="1369432"/>
                    </a:xfrm>
                    <a:prstGeom prst="rect">
                      <a:avLst/>
                    </a:prstGeom>
                  </pic:spPr>
                </pic:pic>
              </a:graphicData>
            </a:graphic>
          </wp:inline>
        </w:drawing>
      </w:r>
    </w:p>
    <w:p w:rsidR="00E97AFB" w:rsidRDefault="00E97AFB" w:rsidP="00E97AFB">
      <w:pPr>
        <w:spacing w:after="120"/>
        <w:rPr>
          <w:rFonts w:ascii="Arial" w:hAnsi="Arial" w:cs="Arial"/>
          <w:i/>
          <w:sz w:val="22"/>
          <w:szCs w:val="22"/>
        </w:rPr>
      </w:pPr>
    </w:p>
    <w:p w:rsidR="003548A2" w:rsidRDefault="003548A2" w:rsidP="00E97AFB">
      <w:pPr>
        <w:spacing w:after="120"/>
        <w:rPr>
          <w:rFonts w:ascii="Arial" w:hAnsi="Arial" w:cs="Arial"/>
          <w:i/>
          <w:sz w:val="22"/>
          <w:szCs w:val="22"/>
        </w:rPr>
      </w:pPr>
    </w:p>
    <w:p w:rsidR="003548A2" w:rsidRDefault="003548A2" w:rsidP="00E97AFB">
      <w:pPr>
        <w:spacing w:after="120"/>
        <w:rPr>
          <w:rFonts w:ascii="Arial" w:hAnsi="Arial" w:cs="Arial"/>
          <w:i/>
          <w:sz w:val="22"/>
          <w:szCs w:val="22"/>
        </w:rPr>
      </w:pPr>
    </w:p>
    <w:p w:rsidR="003548A2" w:rsidRDefault="003548A2" w:rsidP="00E97AFB">
      <w:pPr>
        <w:spacing w:after="120"/>
        <w:rPr>
          <w:rFonts w:ascii="Arial" w:hAnsi="Arial" w:cs="Arial"/>
          <w:i/>
          <w:sz w:val="22"/>
          <w:szCs w:val="22"/>
        </w:rPr>
      </w:pPr>
    </w:p>
    <w:p w:rsidR="00E97AFB" w:rsidRPr="00E97AFB" w:rsidRDefault="00E97AFB" w:rsidP="00E97AFB">
      <w:pPr>
        <w:spacing w:after="120"/>
        <w:rPr>
          <w:rFonts w:ascii="Arial" w:hAnsi="Arial" w:cs="Arial"/>
          <w:i/>
          <w:sz w:val="22"/>
          <w:szCs w:val="22"/>
        </w:rPr>
      </w:pPr>
      <w:r w:rsidRPr="00E97AFB">
        <w:rPr>
          <w:rFonts w:ascii="Arial" w:hAnsi="Arial" w:cs="Arial"/>
          <w:i/>
          <w:sz w:val="22"/>
          <w:szCs w:val="22"/>
        </w:rPr>
        <w:lastRenderedPageBreak/>
        <w:t xml:space="preserve">Beispiel 3: </w:t>
      </w:r>
    </w:p>
    <w:p w:rsidR="00E97AFB" w:rsidRDefault="003548A2" w:rsidP="00E97AFB">
      <w:pPr>
        <w:spacing w:after="120"/>
        <w:rPr>
          <w:rFonts w:ascii="Arial" w:hAnsi="Arial" w:cs="Arial"/>
          <w:i/>
          <w:sz w:val="22"/>
          <w:szCs w:val="22"/>
        </w:rPr>
      </w:pPr>
      <w:r>
        <w:rPr>
          <w:rFonts w:ascii="Arial" w:hAnsi="Arial" w:cs="Arial"/>
          <w:i/>
          <w:noProof/>
          <w:sz w:val="22"/>
          <w:szCs w:val="22"/>
        </w:rPr>
        <w:drawing>
          <wp:inline distT="0" distB="0" distL="0" distR="0" wp14:anchorId="7EEA9261" wp14:editId="07FE91DF">
            <wp:extent cx="5068800" cy="1464531"/>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Zifferntausch_3.emf"/>
                    <pic:cNvPicPr/>
                  </pic:nvPicPr>
                  <pic:blipFill>
                    <a:blip r:embed="rId9">
                      <a:extLst>
                        <a:ext uri="{28A0092B-C50C-407E-A947-70E740481C1C}">
                          <a14:useLocalDpi xmlns:a14="http://schemas.microsoft.com/office/drawing/2010/main" val="0"/>
                        </a:ext>
                      </a:extLst>
                    </a:blip>
                    <a:stretch>
                      <a:fillRect/>
                    </a:stretch>
                  </pic:blipFill>
                  <pic:spPr>
                    <a:xfrm>
                      <a:off x="0" y="0"/>
                      <a:ext cx="5068800" cy="1464531"/>
                    </a:xfrm>
                    <a:prstGeom prst="rect">
                      <a:avLst/>
                    </a:prstGeom>
                  </pic:spPr>
                </pic:pic>
              </a:graphicData>
            </a:graphic>
          </wp:inline>
        </w:drawing>
      </w:r>
    </w:p>
    <w:p w:rsidR="003548A2" w:rsidRPr="00E97AFB" w:rsidRDefault="003548A2" w:rsidP="00E97AFB">
      <w:pPr>
        <w:spacing w:after="120"/>
        <w:rPr>
          <w:rFonts w:ascii="Arial" w:hAnsi="Arial" w:cs="Arial"/>
          <w:i/>
          <w:sz w:val="22"/>
          <w:szCs w:val="22"/>
        </w:rPr>
      </w:pPr>
    </w:p>
    <w:p w:rsidR="00394BD7" w:rsidRDefault="00E97AFB" w:rsidP="00E97AFB">
      <w:pPr>
        <w:spacing w:after="120"/>
        <w:rPr>
          <w:rFonts w:ascii="Arial" w:hAnsi="Arial" w:cs="Arial"/>
          <w:i/>
          <w:sz w:val="22"/>
          <w:szCs w:val="22"/>
        </w:rPr>
      </w:pPr>
      <w:r w:rsidRPr="00E97AFB">
        <w:rPr>
          <w:rFonts w:ascii="Arial" w:hAnsi="Arial" w:cs="Arial"/>
          <w:i/>
          <w:sz w:val="22"/>
          <w:szCs w:val="22"/>
        </w:rPr>
        <w:t>Beispiel 4:</w:t>
      </w:r>
    </w:p>
    <w:p w:rsidR="00E97AFB" w:rsidRDefault="003548A2" w:rsidP="00E97AFB">
      <w:pPr>
        <w:spacing w:after="120"/>
        <w:rPr>
          <w:rFonts w:ascii="Arial" w:hAnsi="Arial" w:cs="Arial"/>
          <w:i/>
          <w:sz w:val="22"/>
          <w:szCs w:val="22"/>
        </w:rPr>
      </w:pPr>
      <w:r>
        <w:rPr>
          <w:rFonts w:ascii="Arial" w:hAnsi="Arial" w:cs="Arial"/>
          <w:i/>
          <w:noProof/>
          <w:sz w:val="22"/>
          <w:szCs w:val="22"/>
        </w:rPr>
        <w:drawing>
          <wp:inline distT="0" distB="0" distL="0" distR="0" wp14:anchorId="4AC3A454" wp14:editId="4E841A9C">
            <wp:extent cx="5076825" cy="1038225"/>
            <wp:effectExtent l="0" t="0" r="0"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Zifferntausch_4.emf"/>
                    <pic:cNvPicPr/>
                  </pic:nvPicPr>
                  <pic:blipFill>
                    <a:blip r:embed="rId10">
                      <a:extLst>
                        <a:ext uri="{28A0092B-C50C-407E-A947-70E740481C1C}">
                          <a14:useLocalDpi xmlns:a14="http://schemas.microsoft.com/office/drawing/2010/main" val="0"/>
                        </a:ext>
                      </a:extLst>
                    </a:blip>
                    <a:stretch>
                      <a:fillRect/>
                    </a:stretch>
                  </pic:blipFill>
                  <pic:spPr>
                    <a:xfrm>
                      <a:off x="0" y="0"/>
                      <a:ext cx="5076825" cy="1038225"/>
                    </a:xfrm>
                    <a:prstGeom prst="rect">
                      <a:avLst/>
                    </a:prstGeom>
                  </pic:spPr>
                </pic:pic>
              </a:graphicData>
            </a:graphic>
          </wp:inline>
        </w:drawing>
      </w:r>
    </w:p>
    <w:p w:rsidR="00E97AFB" w:rsidRPr="00E97AFB" w:rsidRDefault="00E97AFB" w:rsidP="00E97AFB">
      <w:pPr>
        <w:spacing w:after="120"/>
        <w:rPr>
          <w:rFonts w:ascii="Arial" w:hAnsi="Arial" w:cs="Arial"/>
          <w:i/>
          <w:sz w:val="22"/>
          <w:szCs w:val="22"/>
        </w:rPr>
      </w:pPr>
    </w:p>
    <w:sectPr w:rsidR="00E97AFB" w:rsidRPr="00E97AF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951" w:rsidRDefault="008A7951" w:rsidP="008A7951">
      <w:r>
        <w:separator/>
      </w:r>
    </w:p>
  </w:endnote>
  <w:endnote w:type="continuationSeparator" w:id="0">
    <w:p w:rsidR="008A7951" w:rsidRDefault="008A7951" w:rsidP="008A7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951" w:rsidRDefault="008A79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951" w:rsidRDefault="008A795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951" w:rsidRDefault="008A79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951" w:rsidRDefault="008A7951" w:rsidP="008A7951">
      <w:r>
        <w:separator/>
      </w:r>
    </w:p>
  </w:footnote>
  <w:footnote w:type="continuationSeparator" w:id="0">
    <w:p w:rsidR="008A7951" w:rsidRDefault="008A7951" w:rsidP="008A7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951" w:rsidRDefault="008A79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951" w:rsidRDefault="008A7951">
    <w:pPr>
      <w:pStyle w:val="Kopfzeile"/>
    </w:pPr>
    <w:r>
      <w:rPr>
        <w:noProof/>
      </w:rPr>
      <w:drawing>
        <wp:anchor distT="0" distB="0" distL="114300" distR="114300" simplePos="0" relativeHeight="251656704" behindDoc="0" locked="0" layoutInCell="1" allowOverlap="1" wp14:anchorId="4C960EA4" wp14:editId="33BC95C7">
          <wp:simplePos x="0" y="0"/>
          <wp:positionH relativeFrom="page">
            <wp:posOffset>817245</wp:posOffset>
          </wp:positionH>
          <wp:positionV relativeFrom="page">
            <wp:posOffset>290195</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951" w:rsidRDefault="008A795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1E1B"/>
    <w:rsid w:val="001E6C75"/>
    <w:rsid w:val="0021671D"/>
    <w:rsid w:val="002265B7"/>
    <w:rsid w:val="00226C04"/>
    <w:rsid w:val="0026784F"/>
    <w:rsid w:val="002D1B6E"/>
    <w:rsid w:val="00304067"/>
    <w:rsid w:val="00304DCD"/>
    <w:rsid w:val="003548A2"/>
    <w:rsid w:val="00394BD7"/>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8A7951"/>
    <w:rsid w:val="009C47FB"/>
    <w:rsid w:val="009D5014"/>
    <w:rsid w:val="009E4A36"/>
    <w:rsid w:val="00A13FB9"/>
    <w:rsid w:val="00A25A42"/>
    <w:rsid w:val="00A47EC4"/>
    <w:rsid w:val="00A7483C"/>
    <w:rsid w:val="00A95DDE"/>
    <w:rsid w:val="00AB17D0"/>
    <w:rsid w:val="00B8136A"/>
    <w:rsid w:val="00C2385F"/>
    <w:rsid w:val="00C7686A"/>
    <w:rsid w:val="00CF32DF"/>
    <w:rsid w:val="00D44C7A"/>
    <w:rsid w:val="00D462AA"/>
    <w:rsid w:val="00E97AFB"/>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A425D1"/>
  <w15:docId w15:val="{1C6C2863-4AF1-41EC-A24A-75FE12994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8A7951"/>
    <w:pPr>
      <w:tabs>
        <w:tab w:val="center" w:pos="4536"/>
        <w:tab w:val="right" w:pos="9072"/>
      </w:tabs>
    </w:pPr>
  </w:style>
  <w:style w:type="character" w:customStyle="1" w:styleId="KopfzeileZchn">
    <w:name w:val="Kopfzeile Zchn"/>
    <w:basedOn w:val="Absatz-Standardschriftart"/>
    <w:link w:val="Kopfzeile"/>
    <w:rsid w:val="008A7951"/>
    <w:rPr>
      <w:sz w:val="24"/>
      <w:szCs w:val="24"/>
    </w:rPr>
  </w:style>
  <w:style w:type="paragraph" w:styleId="Fuzeile">
    <w:name w:val="footer"/>
    <w:basedOn w:val="Standard"/>
    <w:link w:val="FuzeileZchn"/>
    <w:unhideWhenUsed/>
    <w:rsid w:val="008A7951"/>
    <w:pPr>
      <w:tabs>
        <w:tab w:val="center" w:pos="4536"/>
        <w:tab w:val="right" w:pos="9072"/>
      </w:tabs>
    </w:pPr>
  </w:style>
  <w:style w:type="character" w:customStyle="1" w:styleId="FuzeileZchn">
    <w:name w:val="Fußzeile Zchn"/>
    <w:basedOn w:val="Absatz-Standardschriftart"/>
    <w:link w:val="Fuzeile"/>
    <w:rsid w:val="008A79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979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2020-12-23T09:34:00Z</dcterms:created>
  <dcterms:modified xsi:type="dcterms:W3CDTF">2021-02-12T10:17:00Z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